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250F7" w14:textId="6CC6E3AB" w:rsidR="00EF6FEC" w:rsidRDefault="00965653" w:rsidP="00A42985">
      <w:pPr>
        <w:pStyle w:val="Title"/>
        <w:jc w:val="center"/>
      </w:pPr>
      <w:r>
        <w:t>Catering Purchasing</w:t>
      </w:r>
    </w:p>
    <w:p w14:paraId="3E532FF9" w14:textId="77777777" w:rsidR="00EF6FEC" w:rsidRDefault="00EF6FEC" w:rsidP="00EF6FEC"/>
    <w:p w14:paraId="55576366" w14:textId="10EFC2FA" w:rsidR="00EF6FEC" w:rsidRPr="00EF6FEC" w:rsidRDefault="008E72DE" w:rsidP="00EF6FEC">
      <w:pPr>
        <w:pStyle w:val="Heading1"/>
      </w:pPr>
      <w:r>
        <w:t>G</w:t>
      </w:r>
      <w:r w:rsidR="00EF6FEC">
        <w:t>uide to Buyers</w:t>
      </w:r>
    </w:p>
    <w:p w14:paraId="1908DBE4" w14:textId="66C89A30" w:rsidR="00EF6FEC" w:rsidRDefault="00EF6FEC" w:rsidP="00EF6FEC">
      <w:pPr>
        <w:pStyle w:val="xxmsonormal"/>
        <w:rPr>
          <w:sz w:val="22"/>
          <w:szCs w:val="22"/>
        </w:rPr>
      </w:pPr>
      <w:bookmarkStart w:id="0" w:name="_Hlk167100803"/>
      <w:r>
        <w:rPr>
          <w:sz w:val="22"/>
          <w:szCs w:val="22"/>
        </w:rPr>
        <w:t xml:space="preserve">Please be advised that </w:t>
      </w:r>
      <w:r>
        <w:rPr>
          <w:sz w:val="22"/>
          <w:szCs w:val="22"/>
          <w:u w:val="single"/>
        </w:rPr>
        <w:t xml:space="preserve">America </w:t>
      </w:r>
      <w:proofErr w:type="gramStart"/>
      <w:r>
        <w:rPr>
          <w:sz w:val="22"/>
          <w:szCs w:val="22"/>
          <w:u w:val="single"/>
        </w:rPr>
        <w:t>To</w:t>
      </w:r>
      <w:proofErr w:type="gramEnd"/>
      <w:r>
        <w:rPr>
          <w:sz w:val="22"/>
          <w:szCs w:val="22"/>
          <w:u w:val="single"/>
        </w:rPr>
        <w:t xml:space="preserve"> Go</w:t>
      </w:r>
      <w:r>
        <w:rPr>
          <w:sz w:val="22"/>
          <w:szCs w:val="22"/>
        </w:rPr>
        <w:t xml:space="preserve"> </w:t>
      </w:r>
      <w:r w:rsidR="00436B2B">
        <w:rPr>
          <w:sz w:val="22"/>
          <w:szCs w:val="22"/>
        </w:rPr>
        <w:t xml:space="preserve">(ATG) </w:t>
      </w:r>
      <w:r>
        <w:rPr>
          <w:sz w:val="22"/>
          <w:szCs w:val="22"/>
        </w:rPr>
        <w:t>has been designated as Emory University's preferred and approved vendor</w:t>
      </w:r>
      <w:r w:rsidR="00436B2B">
        <w:rPr>
          <w:sz w:val="22"/>
          <w:szCs w:val="22"/>
        </w:rPr>
        <w:t xml:space="preserve"> to manage Emory’s catering</w:t>
      </w:r>
      <w:r>
        <w:rPr>
          <w:sz w:val="22"/>
          <w:szCs w:val="22"/>
        </w:rPr>
        <w:t xml:space="preserve">. This ensures that proper governance is conducted (i.e., ensuring licenses and insurance are in place, food inspections are satisfactory, Emory’s sustainability requirements are followed, etc.). Selecting a vendor </w:t>
      </w:r>
      <w:r w:rsidR="00DC6F7A">
        <w:rPr>
          <w:sz w:val="22"/>
          <w:szCs w:val="22"/>
        </w:rPr>
        <w:t xml:space="preserve">not in the America </w:t>
      </w:r>
      <w:proofErr w:type="gramStart"/>
      <w:r w:rsidR="00DC6F7A">
        <w:rPr>
          <w:sz w:val="22"/>
          <w:szCs w:val="22"/>
        </w:rPr>
        <w:t>To</w:t>
      </w:r>
      <w:proofErr w:type="gramEnd"/>
      <w:r w:rsidR="00DC6F7A">
        <w:rPr>
          <w:sz w:val="22"/>
          <w:szCs w:val="22"/>
        </w:rPr>
        <w:t xml:space="preserve"> Go program </w:t>
      </w:r>
      <w:r>
        <w:rPr>
          <w:sz w:val="22"/>
          <w:szCs w:val="22"/>
        </w:rPr>
        <w:t>may result in individual responsibility for contractual terms, agreements, and any associated risks. Payments to ATG-registered caterers must be processed through the ATG punchout.</w:t>
      </w:r>
    </w:p>
    <w:bookmarkEnd w:id="0"/>
    <w:p w14:paraId="03E86A3C" w14:textId="77777777" w:rsidR="00EF6FEC" w:rsidRDefault="00EF6FEC" w:rsidP="00EF6FEC">
      <w:pPr>
        <w:pStyle w:val="xxmsonormal"/>
        <w:rPr>
          <w:sz w:val="22"/>
          <w:szCs w:val="22"/>
        </w:rPr>
      </w:pPr>
    </w:p>
    <w:p w14:paraId="06404050" w14:textId="77777777" w:rsidR="00EF6FEC" w:rsidRDefault="00EF6FEC" w:rsidP="00EF6FEC">
      <w:pPr>
        <w:pStyle w:val="xxmsonormal"/>
        <w:rPr>
          <w:sz w:val="22"/>
          <w:szCs w:val="22"/>
        </w:rPr>
      </w:pPr>
      <w:r>
        <w:rPr>
          <w:sz w:val="22"/>
          <w:szCs w:val="22"/>
        </w:rPr>
        <w:t>For on-campus events at the Atlanta or Oxford campuses, users may also use Emory Catering (Bon Appetit), also available through Emory Express.</w:t>
      </w:r>
    </w:p>
    <w:p w14:paraId="69EFFF99" w14:textId="77777777" w:rsidR="00EF6FEC" w:rsidRDefault="00EF6FEC" w:rsidP="00EF6FEC">
      <w:pPr>
        <w:pStyle w:val="xxmsonormal"/>
        <w:rPr>
          <w:sz w:val="22"/>
          <w:szCs w:val="22"/>
        </w:rPr>
      </w:pPr>
    </w:p>
    <w:p w14:paraId="372D75D0" w14:textId="77777777" w:rsidR="00EF6FEC" w:rsidRPr="00E36719" w:rsidRDefault="00EF6FEC" w:rsidP="00EF6FEC">
      <w:pPr>
        <w:rPr>
          <w:szCs w:val="22"/>
        </w:rPr>
      </w:pPr>
      <w:r w:rsidRPr="00E36719">
        <w:rPr>
          <w:szCs w:val="22"/>
        </w:rPr>
        <w:t xml:space="preserve">For off-campus events, some venues require the use of their on-premises catering, or a specified caterer. </w:t>
      </w:r>
    </w:p>
    <w:p w14:paraId="660D6F3F" w14:textId="77777777" w:rsidR="00EF6FEC" w:rsidRPr="00E36719" w:rsidRDefault="00EF6FEC" w:rsidP="00EF6FEC">
      <w:pPr>
        <w:rPr>
          <w:szCs w:val="22"/>
        </w:rPr>
      </w:pPr>
      <w:r w:rsidRPr="00E36719">
        <w:rPr>
          <w:szCs w:val="22"/>
        </w:rPr>
        <w:t xml:space="preserve">For questions, please contact Rick Kapela at </w:t>
      </w:r>
      <w:hyperlink r:id="rId7" w:history="1">
        <w:r w:rsidRPr="00E36719">
          <w:rPr>
            <w:rStyle w:val="Hyperlink"/>
            <w:szCs w:val="22"/>
          </w:rPr>
          <w:t>rkapela@emory.edu</w:t>
        </w:r>
      </w:hyperlink>
      <w:r w:rsidRPr="00E36719">
        <w:rPr>
          <w:szCs w:val="22"/>
        </w:rPr>
        <w:t>.</w:t>
      </w:r>
    </w:p>
    <w:p w14:paraId="2C71B70E" w14:textId="77777777" w:rsidR="00EF6FEC" w:rsidRDefault="00EF6FEC" w:rsidP="00EF6FEC"/>
    <w:p w14:paraId="21884E88" w14:textId="77777777" w:rsidR="00EF6FEC" w:rsidRPr="00E36719" w:rsidRDefault="00EF6FEC" w:rsidP="00EF6FEC">
      <w:pPr>
        <w:pStyle w:val="Heading1"/>
      </w:pPr>
      <w:r w:rsidRPr="00E36719">
        <w:t>FAQ</w:t>
      </w:r>
    </w:p>
    <w:p w14:paraId="053984F6" w14:textId="7043BF03" w:rsidR="00EF6FEC" w:rsidRPr="001B29DE" w:rsidRDefault="00EF6FEC" w:rsidP="005162FE">
      <w:pPr>
        <w:pStyle w:val="Heading2"/>
        <w:numPr>
          <w:ilvl w:val="0"/>
          <w:numId w:val="3"/>
        </w:numPr>
      </w:pPr>
      <w:r w:rsidRPr="001B29DE">
        <w:t>To register a caterer with ATG, or for customer support, contact:</w:t>
      </w:r>
    </w:p>
    <w:p w14:paraId="3293878F" w14:textId="77777777" w:rsidR="00936BCD" w:rsidRDefault="00936BCD" w:rsidP="00936BCD">
      <w:pPr>
        <w:spacing w:after="0"/>
        <w:ind w:left="1440"/>
      </w:pPr>
    </w:p>
    <w:p w14:paraId="5580DA58" w14:textId="52A582B0" w:rsidR="00936BCD" w:rsidRDefault="00936BCD" w:rsidP="00936BCD">
      <w:pPr>
        <w:spacing w:after="0"/>
        <w:ind w:left="1440"/>
      </w:pPr>
      <w:bookmarkStart w:id="1" w:name="_Hlk167100815"/>
      <w:r>
        <w:t>ATG Customer Service:</w:t>
      </w:r>
    </w:p>
    <w:p w14:paraId="4B454CD1" w14:textId="77777777" w:rsidR="00936BCD" w:rsidRDefault="00936BCD" w:rsidP="00936BCD">
      <w:pPr>
        <w:spacing w:after="0"/>
        <w:ind w:left="1440"/>
      </w:pPr>
      <w:r>
        <w:t>customerservice@americatogo.com</w:t>
      </w:r>
    </w:p>
    <w:p w14:paraId="57764C3C" w14:textId="03A54F11" w:rsidR="003E548D" w:rsidRDefault="00936BCD" w:rsidP="00EF6FEC">
      <w:pPr>
        <w:spacing w:after="0"/>
        <w:ind w:left="1440"/>
      </w:pPr>
      <w:r>
        <w:t>866.ATG.TOGO (866.284.8646)</w:t>
      </w:r>
    </w:p>
    <w:p w14:paraId="602EDF44" w14:textId="77777777" w:rsidR="000004A3" w:rsidRDefault="000004A3" w:rsidP="00EF6FEC">
      <w:pPr>
        <w:spacing w:after="0"/>
        <w:ind w:left="1440"/>
      </w:pPr>
    </w:p>
    <w:p w14:paraId="64284445" w14:textId="37844B52" w:rsidR="00EF6FEC" w:rsidRDefault="00EF6FEC" w:rsidP="00EF6FEC">
      <w:pPr>
        <w:spacing w:after="0"/>
        <w:ind w:left="1440"/>
      </w:pPr>
      <w:r>
        <w:t>Vivian D. Bordon</w:t>
      </w:r>
      <w:r w:rsidR="003E548D">
        <w:t xml:space="preserve"> – S</w:t>
      </w:r>
      <w:r>
        <w:t>enior Project Manager</w:t>
      </w:r>
    </w:p>
    <w:p w14:paraId="77CFE893" w14:textId="77777777" w:rsidR="00EF6FEC" w:rsidRDefault="00EF6FEC" w:rsidP="00EF6FEC">
      <w:pPr>
        <w:spacing w:after="0"/>
        <w:ind w:left="1440"/>
      </w:pPr>
      <w:r>
        <w:t>America To Go</w:t>
      </w:r>
    </w:p>
    <w:p w14:paraId="7E1A439D" w14:textId="77777777" w:rsidR="00EF6FEC" w:rsidRDefault="00EF6FEC" w:rsidP="00EF6FEC">
      <w:pPr>
        <w:spacing w:after="0"/>
        <w:ind w:left="1440"/>
      </w:pPr>
      <w:r>
        <w:t>Cell: 917.344.9056</w:t>
      </w:r>
    </w:p>
    <w:p w14:paraId="50A0D3BF" w14:textId="77777777" w:rsidR="00EF6FEC" w:rsidRDefault="00000000" w:rsidP="00EF6FEC">
      <w:pPr>
        <w:spacing w:after="0"/>
        <w:ind w:left="1440"/>
      </w:pPr>
      <w:hyperlink r:id="rId8" w:history="1">
        <w:r w:rsidR="00EF6FEC" w:rsidRPr="00C64C60">
          <w:rPr>
            <w:rStyle w:val="Hyperlink"/>
          </w:rPr>
          <w:t>vivian.bordon@americatogo.com</w:t>
        </w:r>
      </w:hyperlink>
    </w:p>
    <w:p w14:paraId="6DDEF06F" w14:textId="77777777" w:rsidR="005162FE" w:rsidRDefault="005162FE" w:rsidP="00EF6FEC">
      <w:pPr>
        <w:spacing w:after="0"/>
        <w:ind w:left="1440"/>
      </w:pPr>
    </w:p>
    <w:p w14:paraId="41FB271A" w14:textId="3C0ACF07" w:rsidR="005162FE" w:rsidRDefault="00834FE5" w:rsidP="00EF6FEC">
      <w:pPr>
        <w:spacing w:after="0"/>
        <w:ind w:left="1440"/>
      </w:pPr>
      <w:r>
        <w:t xml:space="preserve">To </w:t>
      </w:r>
      <w:r w:rsidR="00936BCD">
        <w:t>request</w:t>
      </w:r>
      <w:r>
        <w:t xml:space="preserve"> a caterer </w:t>
      </w:r>
      <w:r w:rsidR="00936BCD">
        <w:t>to be set up in the</w:t>
      </w:r>
      <w:r>
        <w:t xml:space="preserve"> </w:t>
      </w:r>
      <w:r w:rsidR="005162FE">
        <w:t xml:space="preserve">America </w:t>
      </w:r>
      <w:proofErr w:type="gramStart"/>
      <w:r w:rsidR="005162FE">
        <w:t>To</w:t>
      </w:r>
      <w:proofErr w:type="gramEnd"/>
      <w:r w:rsidR="005162FE">
        <w:t xml:space="preserve"> Go</w:t>
      </w:r>
      <w:r w:rsidR="00936BCD">
        <w:t xml:space="preserve"> program</w:t>
      </w:r>
      <w:r>
        <w:t xml:space="preserve">, you will need to provide </w:t>
      </w:r>
      <w:r w:rsidR="005162FE">
        <w:t xml:space="preserve">the name, phone and email address of the </w:t>
      </w:r>
      <w:r>
        <w:t>caterer</w:t>
      </w:r>
      <w:r w:rsidR="005162FE">
        <w:t>.</w:t>
      </w:r>
    </w:p>
    <w:bookmarkEnd w:id="1"/>
    <w:p w14:paraId="6A1A28F1" w14:textId="77777777" w:rsidR="00A52324" w:rsidRDefault="00A52324" w:rsidP="00EF6FEC">
      <w:pPr>
        <w:spacing w:after="0"/>
        <w:ind w:left="1440"/>
      </w:pPr>
    </w:p>
    <w:p w14:paraId="088AB37F" w14:textId="15B9729A" w:rsidR="00A52324" w:rsidRPr="001B29DE" w:rsidRDefault="00A52324" w:rsidP="005162FE">
      <w:pPr>
        <w:pStyle w:val="Heading2"/>
        <w:numPr>
          <w:ilvl w:val="0"/>
          <w:numId w:val="3"/>
        </w:numPr>
      </w:pPr>
      <w:r w:rsidRPr="001B29DE">
        <w:t>What is the on-boarding process for new caterers?</w:t>
      </w:r>
    </w:p>
    <w:p w14:paraId="326CB5EB" w14:textId="77777777" w:rsidR="00A52324" w:rsidRDefault="00A52324" w:rsidP="00A52324">
      <w:pPr>
        <w:spacing w:after="0"/>
        <w:ind w:left="720"/>
      </w:pPr>
    </w:p>
    <w:p w14:paraId="0571D77E" w14:textId="7B9B2FFB" w:rsidR="00A52324" w:rsidRPr="000004A3" w:rsidRDefault="00A52324" w:rsidP="00A52324">
      <w:pPr>
        <w:pStyle w:val="ListParagraph"/>
        <w:numPr>
          <w:ilvl w:val="1"/>
          <w:numId w:val="1"/>
        </w:numPr>
        <w:spacing w:after="0"/>
      </w:pPr>
      <w:r>
        <w:lastRenderedPageBreak/>
        <w:t xml:space="preserve">America To Go reviews the program and Emory requirements with the requested </w:t>
      </w:r>
      <w:r w:rsidR="00936BCD" w:rsidRPr="000004A3">
        <w:t>caterer</w:t>
      </w:r>
      <w:r w:rsidRPr="000004A3">
        <w:t>.</w:t>
      </w:r>
    </w:p>
    <w:p w14:paraId="7B64A6FE" w14:textId="3412F9F2" w:rsidR="00A52324" w:rsidRPr="000004A3" w:rsidRDefault="00936BCD" w:rsidP="00A52324">
      <w:pPr>
        <w:pStyle w:val="ListParagraph"/>
        <w:numPr>
          <w:ilvl w:val="1"/>
          <w:numId w:val="1"/>
        </w:numPr>
        <w:spacing w:after="0"/>
      </w:pPr>
      <w:r w:rsidRPr="000004A3">
        <w:t>Caterer</w:t>
      </w:r>
      <w:r w:rsidR="000004A3" w:rsidRPr="000004A3">
        <w:t xml:space="preserve"> </w:t>
      </w:r>
      <w:r w:rsidR="00A52324" w:rsidRPr="000004A3">
        <w:t xml:space="preserve">completes all required materials (e.g., agreement, vendor information form, insurance requirements, health score, W-9, etc.).  </w:t>
      </w:r>
    </w:p>
    <w:p w14:paraId="5F6758E4" w14:textId="422709BC" w:rsidR="00A52324" w:rsidRPr="000004A3" w:rsidRDefault="00A52324" w:rsidP="00A52324">
      <w:pPr>
        <w:pStyle w:val="ListParagraph"/>
        <w:numPr>
          <w:ilvl w:val="1"/>
          <w:numId w:val="1"/>
        </w:numPr>
        <w:spacing w:after="0"/>
      </w:pPr>
      <w:r w:rsidRPr="000004A3">
        <w:t>America To Go creates a draft version of the new vendor’s information and menu for the vendor to review.</w:t>
      </w:r>
    </w:p>
    <w:p w14:paraId="1ACA19BE" w14:textId="512974C3" w:rsidR="00A52324" w:rsidRPr="000004A3" w:rsidRDefault="00936BCD" w:rsidP="00A52324">
      <w:pPr>
        <w:pStyle w:val="ListParagraph"/>
        <w:numPr>
          <w:ilvl w:val="1"/>
          <w:numId w:val="1"/>
        </w:numPr>
        <w:spacing w:after="0"/>
      </w:pPr>
      <w:r w:rsidRPr="000004A3">
        <w:t>Caterer</w:t>
      </w:r>
      <w:r w:rsidR="000004A3" w:rsidRPr="000004A3">
        <w:t xml:space="preserve"> </w:t>
      </w:r>
      <w:r w:rsidR="00A52324" w:rsidRPr="000004A3">
        <w:t>confirms all information is correct and receives test order.</w:t>
      </w:r>
    </w:p>
    <w:p w14:paraId="13226A2E" w14:textId="1B656C44" w:rsidR="00A52324" w:rsidRDefault="00936BCD" w:rsidP="00A52324">
      <w:pPr>
        <w:pStyle w:val="ListParagraph"/>
        <w:numPr>
          <w:ilvl w:val="1"/>
          <w:numId w:val="1"/>
        </w:numPr>
        <w:spacing w:after="0"/>
      </w:pPr>
      <w:r w:rsidRPr="000004A3">
        <w:t>Caterer</w:t>
      </w:r>
      <w:r w:rsidR="000004A3" w:rsidRPr="000004A3">
        <w:t xml:space="preserve"> </w:t>
      </w:r>
      <w:r w:rsidR="00A52324" w:rsidRPr="000004A3">
        <w:t>goes</w:t>
      </w:r>
      <w:r w:rsidR="00A52324">
        <w:t xml:space="preserve"> live on </w:t>
      </w:r>
      <w:r>
        <w:t xml:space="preserve">the America </w:t>
      </w:r>
      <w:proofErr w:type="gramStart"/>
      <w:r>
        <w:t>To</w:t>
      </w:r>
      <w:proofErr w:type="gramEnd"/>
      <w:r>
        <w:t xml:space="preserve"> Go punchout in </w:t>
      </w:r>
      <w:r w:rsidR="00A52324">
        <w:t>Emory Express, and you receive notification.</w:t>
      </w:r>
    </w:p>
    <w:p w14:paraId="573B59DD" w14:textId="77777777" w:rsidR="00A52324" w:rsidRDefault="00A52324" w:rsidP="00A52324">
      <w:pPr>
        <w:spacing w:after="0"/>
      </w:pPr>
    </w:p>
    <w:p w14:paraId="0C93AFE0" w14:textId="79AC4E28" w:rsidR="00A52324" w:rsidRDefault="00A52324" w:rsidP="00A52324">
      <w:pPr>
        <w:spacing w:after="0"/>
        <w:ind w:left="720"/>
      </w:pPr>
      <w:r>
        <w:t>Note that it can take 2-4 weeks to completely on-board a new caterer</w:t>
      </w:r>
      <w:r w:rsidR="0006213E">
        <w:t>; it depends upon the responsiveness of the vendor.</w:t>
      </w:r>
    </w:p>
    <w:p w14:paraId="44E82E03" w14:textId="77777777" w:rsidR="00EF6FEC" w:rsidRDefault="00EF6FEC" w:rsidP="00EF6FEC">
      <w:pPr>
        <w:spacing w:after="0"/>
      </w:pPr>
    </w:p>
    <w:p w14:paraId="2E1A6D37" w14:textId="3848EF09" w:rsidR="00EF6FEC" w:rsidRPr="001B29DE" w:rsidRDefault="00EF6FEC" w:rsidP="005162FE">
      <w:pPr>
        <w:pStyle w:val="Heading2"/>
        <w:numPr>
          <w:ilvl w:val="0"/>
          <w:numId w:val="3"/>
        </w:numPr>
      </w:pPr>
      <w:r w:rsidRPr="001B29DE">
        <w:t>What if we wish to use a non-registered ATG caterer?</w:t>
      </w:r>
    </w:p>
    <w:p w14:paraId="6482F9FF" w14:textId="2B7F6CBC" w:rsidR="003E548D" w:rsidRDefault="003E548D" w:rsidP="00EF6FEC">
      <w:pPr>
        <w:ind w:left="720"/>
      </w:pPr>
      <w:r>
        <w:t>If the supplier is not currently in Emory Express, they will need to complete a Supplier Information Form (SIF).  You will</w:t>
      </w:r>
      <w:r w:rsidR="001B29DE">
        <w:t xml:space="preserve"> then need to submit a </w:t>
      </w:r>
      <w:r w:rsidR="000757F1">
        <w:t>Supplier Request</w:t>
      </w:r>
      <w:r w:rsidR="001B29DE">
        <w:t xml:space="preserve"> </w:t>
      </w:r>
      <w:proofErr w:type="gramStart"/>
      <w:r w:rsidR="001B29DE">
        <w:t>in</w:t>
      </w:r>
      <w:proofErr w:type="gramEnd"/>
      <w:r w:rsidR="001B29DE">
        <w:t xml:space="preserve"> Emory Express.</w:t>
      </w:r>
    </w:p>
    <w:p w14:paraId="1A3A0AF3" w14:textId="23EF4427" w:rsidR="00EF6FEC" w:rsidRDefault="00EF6FEC" w:rsidP="00EF6FEC">
      <w:pPr>
        <w:ind w:left="720"/>
      </w:pPr>
      <w:r>
        <w:t>The following is required for each instance</w:t>
      </w:r>
      <w:r w:rsidR="005162FE">
        <w:t xml:space="preserve"> of using a non-registered ATG caterer</w:t>
      </w:r>
      <w:r>
        <w:t>:</w:t>
      </w:r>
    </w:p>
    <w:p w14:paraId="561EA53A" w14:textId="4FA92485" w:rsidR="009D3EA1" w:rsidRDefault="00EF6FEC" w:rsidP="009D3EA1">
      <w:pPr>
        <w:pStyle w:val="ListParagraph"/>
        <w:numPr>
          <w:ilvl w:val="1"/>
          <w:numId w:val="1"/>
        </w:numPr>
      </w:pPr>
      <w:r>
        <w:t>Confirm health score is current and passing.</w:t>
      </w:r>
      <w:r w:rsidR="0006213E">
        <w:t xml:space="preserve">  The vendor should be able to provide a copy upon demand.</w:t>
      </w:r>
      <w:r w:rsidR="009D3EA1">
        <w:t xml:space="preserve"> You may also search here: </w:t>
      </w:r>
      <w:hyperlink r:id="rId9" w:history="1">
        <w:r w:rsidR="009D3EA1" w:rsidRPr="004717AD">
          <w:rPr>
            <w:rStyle w:val="Hyperlink"/>
          </w:rPr>
          <w:t>https://ga.healthinspections.us/stateofgeorgia/</w:t>
        </w:r>
      </w:hyperlink>
      <w:r w:rsidR="009D3EA1">
        <w:t xml:space="preserve">.  This may be helpful for guidance: </w:t>
      </w:r>
      <w:hyperlink r:id="rId10" w:history="1">
        <w:r w:rsidR="009D3EA1">
          <w:rPr>
            <w:rStyle w:val="Hyperlink"/>
          </w:rPr>
          <w:t>https://dph.georgia.gov/lifting-lid-environmental-healths-restaurant-rankings</w:t>
        </w:r>
      </w:hyperlink>
    </w:p>
    <w:p w14:paraId="2E8AD20B" w14:textId="24ED86D6" w:rsidR="00EF6FEC" w:rsidRDefault="00EF6FEC" w:rsidP="005162FE">
      <w:pPr>
        <w:pStyle w:val="ListParagraph"/>
        <w:numPr>
          <w:ilvl w:val="1"/>
          <w:numId w:val="1"/>
        </w:numPr>
      </w:pPr>
      <w:r>
        <w:t xml:space="preserve">Obtain a certificate of insurance </w:t>
      </w:r>
      <w:r w:rsidR="0006213E">
        <w:t xml:space="preserve">(COI) </w:t>
      </w:r>
      <w:r>
        <w:t>coverage.</w:t>
      </w:r>
      <w:r w:rsidR="0006213E">
        <w:t xml:space="preserve">  </w:t>
      </w:r>
      <w:r w:rsidR="005162FE">
        <w:t>(</w:t>
      </w:r>
      <w:r w:rsidR="0006213E">
        <w:t>Questions regarding these requirement</w:t>
      </w:r>
      <w:r w:rsidR="005162FE">
        <w:t>s</w:t>
      </w:r>
      <w:r w:rsidR="0006213E">
        <w:t xml:space="preserve"> should be directed to </w:t>
      </w:r>
      <w:r w:rsidR="00834FE5">
        <w:t xml:space="preserve">the Office of </w:t>
      </w:r>
      <w:r w:rsidR="0006213E">
        <w:t>Risk Management</w:t>
      </w:r>
      <w:r w:rsidR="00834FE5">
        <w:t xml:space="preserve"> and Insurance Services</w:t>
      </w:r>
      <w:r w:rsidR="005162FE">
        <w:t xml:space="preserve">, </w:t>
      </w:r>
      <w:r w:rsidR="0006213E">
        <w:t>not Central Procurement).</w:t>
      </w:r>
    </w:p>
    <w:p w14:paraId="639D14C3" w14:textId="5A890D52" w:rsidR="0006213E" w:rsidRDefault="0006213E" w:rsidP="005162FE">
      <w:pPr>
        <w:pStyle w:val="ListParagraph"/>
        <w:numPr>
          <w:ilvl w:val="2"/>
          <w:numId w:val="1"/>
        </w:numPr>
      </w:pPr>
      <w:r>
        <w:t>Required for all caterers:</w:t>
      </w:r>
    </w:p>
    <w:p w14:paraId="48A079A6" w14:textId="4B102BDF" w:rsidR="0006213E" w:rsidRDefault="0006213E" w:rsidP="005162FE">
      <w:pPr>
        <w:pStyle w:val="ListParagraph"/>
        <w:numPr>
          <w:ilvl w:val="3"/>
          <w:numId w:val="1"/>
        </w:numPr>
        <w:spacing w:after="0"/>
      </w:pPr>
      <w:r w:rsidRPr="0006213E">
        <w:rPr>
          <w:b/>
          <w:bCs/>
        </w:rPr>
        <w:t>Commercial General Liability</w:t>
      </w:r>
      <w:r>
        <w:t xml:space="preserve"> Policy covering the Caterer, and employees and agents, including: 1) Premises /operations, 2) products/completed operations liability, 3) property damage, 4) broad form contractual, and 5) personal injury and advertising injury, with limits of not less than:</w:t>
      </w:r>
    </w:p>
    <w:p w14:paraId="4F67BF54" w14:textId="77777777" w:rsidR="0006213E" w:rsidRDefault="0006213E" w:rsidP="005162FE">
      <w:pPr>
        <w:spacing w:after="0"/>
        <w:ind w:left="3600"/>
      </w:pPr>
      <w:r>
        <w:t>a) $1,000,000 each occurrence</w:t>
      </w:r>
    </w:p>
    <w:p w14:paraId="5A23D42D" w14:textId="77777777" w:rsidR="0006213E" w:rsidRDefault="0006213E" w:rsidP="005162FE">
      <w:pPr>
        <w:spacing w:after="0"/>
        <w:ind w:left="3600"/>
      </w:pPr>
      <w:r>
        <w:t>b) $2,000,000 general aggregate</w:t>
      </w:r>
    </w:p>
    <w:p w14:paraId="2B8FBA4F" w14:textId="77777777" w:rsidR="0006213E" w:rsidRDefault="0006213E" w:rsidP="005162FE">
      <w:pPr>
        <w:spacing w:after="0"/>
        <w:ind w:left="3600"/>
      </w:pPr>
      <w:r>
        <w:t>c) $2,000,000 products /completed operations aggregate and</w:t>
      </w:r>
    </w:p>
    <w:p w14:paraId="678CBF94" w14:textId="43EB3B1F" w:rsidR="0006213E" w:rsidRDefault="0006213E" w:rsidP="005162FE">
      <w:pPr>
        <w:spacing w:after="0"/>
        <w:ind w:left="3600"/>
      </w:pPr>
      <w:r>
        <w:t>d) $2,000,000 personal injury, bodily injury, advertising injury liability per occurrence</w:t>
      </w:r>
    </w:p>
    <w:p w14:paraId="65F2EA38" w14:textId="3045BA68" w:rsidR="005162FE" w:rsidRDefault="0006213E" w:rsidP="005162FE">
      <w:pPr>
        <w:pStyle w:val="ListParagraph"/>
        <w:numPr>
          <w:ilvl w:val="3"/>
          <w:numId w:val="1"/>
        </w:numPr>
      </w:pPr>
      <w:r w:rsidRPr="005162FE">
        <w:rPr>
          <w:b/>
          <w:bCs/>
        </w:rPr>
        <w:t>Worker’s Compensation and Employer’s Liability</w:t>
      </w:r>
      <w:r>
        <w:t xml:space="preserve"> </w:t>
      </w:r>
      <w:r w:rsidRPr="005162FE">
        <w:rPr>
          <w:b/>
          <w:bCs/>
        </w:rPr>
        <w:t>Insurance</w:t>
      </w:r>
      <w:r w:rsidR="005162FE">
        <w:t xml:space="preserve"> </w:t>
      </w:r>
      <w:proofErr w:type="gramStart"/>
      <w:r w:rsidR="005162FE">
        <w:t>covering</w:t>
      </w:r>
      <w:proofErr w:type="gramEnd"/>
      <w:r w:rsidR="005162FE">
        <w:t xml:space="preserve"> Caterer’s employees with the following limits:</w:t>
      </w:r>
    </w:p>
    <w:p w14:paraId="3310480D" w14:textId="77777777" w:rsidR="005162FE" w:rsidRDefault="005162FE" w:rsidP="005162FE">
      <w:pPr>
        <w:pStyle w:val="ListParagraph"/>
        <w:numPr>
          <w:ilvl w:val="4"/>
          <w:numId w:val="1"/>
        </w:numPr>
      </w:pPr>
      <w:r>
        <w:t>Worker’s Compensation: statutory limits</w:t>
      </w:r>
    </w:p>
    <w:p w14:paraId="24C5DB4D" w14:textId="521B0253" w:rsidR="0006213E" w:rsidRDefault="005162FE" w:rsidP="005162FE">
      <w:pPr>
        <w:pStyle w:val="ListParagraph"/>
        <w:numPr>
          <w:ilvl w:val="4"/>
          <w:numId w:val="1"/>
        </w:numPr>
      </w:pPr>
      <w:r>
        <w:t>Employer’s Liability: $</w:t>
      </w:r>
      <w:proofErr w:type="gramStart"/>
      <w:r>
        <w:t>1,000,000</w:t>
      </w:r>
      <w:proofErr w:type="gramEnd"/>
      <w:r>
        <w:t xml:space="preserve"> each accident, $1,000,000 disease policy limit and $1,000,000 disease each employee.</w:t>
      </w:r>
    </w:p>
    <w:p w14:paraId="3A7E0E1C" w14:textId="1302E724" w:rsidR="0006213E" w:rsidRDefault="0006213E" w:rsidP="005162FE">
      <w:pPr>
        <w:pStyle w:val="ListParagraph"/>
        <w:numPr>
          <w:ilvl w:val="2"/>
          <w:numId w:val="1"/>
        </w:numPr>
      </w:pPr>
      <w:r>
        <w:lastRenderedPageBreak/>
        <w:t xml:space="preserve">If there will be liquor (including beer/wine), then also: </w:t>
      </w:r>
      <w:r w:rsidRPr="0006213E">
        <w:rPr>
          <w:b/>
          <w:bCs/>
        </w:rPr>
        <w:t>Liquor Liability</w:t>
      </w:r>
      <w:r>
        <w:t xml:space="preserve"> </w:t>
      </w:r>
      <w:r w:rsidR="005162FE">
        <w:rPr>
          <w:b/>
          <w:bCs/>
        </w:rPr>
        <w:t>I</w:t>
      </w:r>
      <w:r w:rsidRPr="005162FE">
        <w:rPr>
          <w:b/>
          <w:bCs/>
        </w:rPr>
        <w:t>nsurance</w:t>
      </w:r>
      <w:r>
        <w:t xml:space="preserve"> with </w:t>
      </w:r>
      <w:r w:rsidRPr="0006213E">
        <w:t>$1,000,000 and $2,000,000 aggregate coverage</w:t>
      </w:r>
      <w:r w:rsidR="00F00AAA">
        <w:t>.</w:t>
      </w:r>
    </w:p>
    <w:p w14:paraId="2E5EDBA5" w14:textId="3D02F462" w:rsidR="0006213E" w:rsidRDefault="0006213E" w:rsidP="005162FE">
      <w:pPr>
        <w:pStyle w:val="ListParagraph"/>
        <w:numPr>
          <w:ilvl w:val="2"/>
          <w:numId w:val="1"/>
        </w:numPr>
      </w:pPr>
      <w:r>
        <w:t xml:space="preserve">For food trucks, or if the vendor will have a vehicle on campus, then also: </w:t>
      </w:r>
      <w:r w:rsidRPr="0006213E">
        <w:rPr>
          <w:b/>
          <w:bCs/>
        </w:rPr>
        <w:t>Automobile Liability Insurance</w:t>
      </w:r>
      <w:r>
        <w:t xml:space="preserve"> with a combined single limit of not less than $1,000,000 (including an extension of hired and non-owned coverage</w:t>
      </w:r>
      <w:proofErr w:type="gramStart"/>
      <w:r>
        <w:t>);</w:t>
      </w:r>
      <w:proofErr w:type="gramEnd"/>
    </w:p>
    <w:p w14:paraId="73BAC90C" w14:textId="65188321" w:rsidR="0006213E" w:rsidRPr="005162FE" w:rsidRDefault="0006213E" w:rsidP="005162FE">
      <w:pPr>
        <w:pStyle w:val="ListParagraph"/>
        <w:numPr>
          <w:ilvl w:val="2"/>
          <w:numId w:val="1"/>
        </w:numPr>
        <w:rPr>
          <w:b/>
          <w:bCs/>
        </w:rPr>
      </w:pPr>
      <w:r w:rsidRPr="005162FE">
        <w:rPr>
          <w:b/>
          <w:bCs/>
        </w:rPr>
        <w:t xml:space="preserve">“Emory University” </w:t>
      </w:r>
      <w:r w:rsidRPr="00F00AAA">
        <w:t>must be named as an</w:t>
      </w:r>
      <w:r w:rsidRPr="005162FE">
        <w:rPr>
          <w:b/>
          <w:bCs/>
        </w:rPr>
        <w:t xml:space="preserve"> additional insured.</w:t>
      </w:r>
    </w:p>
    <w:p w14:paraId="1EA8BFF2" w14:textId="23FAB3DF" w:rsidR="00EF6FEC" w:rsidRDefault="00EF6FEC" w:rsidP="005162FE">
      <w:pPr>
        <w:pStyle w:val="ListParagraph"/>
        <w:numPr>
          <w:ilvl w:val="1"/>
          <w:numId w:val="1"/>
        </w:numPr>
      </w:pPr>
      <w:r>
        <w:t>Obtain CBO approval in writing.</w:t>
      </w:r>
      <w:r w:rsidR="0006213E">
        <w:t xml:space="preserve">  A copy of an email is sufficient.</w:t>
      </w:r>
    </w:p>
    <w:p w14:paraId="5BA8E08E" w14:textId="6AA25F2F" w:rsidR="00EF6FEC" w:rsidRDefault="00EF6FEC" w:rsidP="005162FE">
      <w:pPr>
        <w:pStyle w:val="ListParagraph"/>
        <w:numPr>
          <w:ilvl w:val="1"/>
          <w:numId w:val="1"/>
        </w:numPr>
      </w:pPr>
      <w:r>
        <w:t>Ensure that the vendor complies with Emory’s Sustainability guidelines regarding packaging and utensils.</w:t>
      </w:r>
    </w:p>
    <w:p w14:paraId="36D91801" w14:textId="17D81F32" w:rsidR="0006213E" w:rsidRDefault="0006213E" w:rsidP="005162FE">
      <w:pPr>
        <w:pStyle w:val="ListParagraph"/>
        <w:numPr>
          <w:ilvl w:val="2"/>
          <w:numId w:val="1"/>
        </w:numPr>
      </w:pPr>
      <w:r>
        <w:t xml:space="preserve">Packaging </w:t>
      </w:r>
      <w:r w:rsidRPr="003E548D">
        <w:rPr>
          <w:b/>
          <w:bCs/>
        </w:rPr>
        <w:t>must be</w:t>
      </w:r>
      <w:r>
        <w:t xml:space="preserve"> Styrofoam-free.</w:t>
      </w:r>
    </w:p>
    <w:p w14:paraId="5B4B929E" w14:textId="4BB7F589" w:rsidR="0006213E" w:rsidRDefault="005162FE" w:rsidP="005162FE">
      <w:pPr>
        <w:pStyle w:val="ListParagraph"/>
        <w:numPr>
          <w:ilvl w:val="2"/>
          <w:numId w:val="1"/>
        </w:numPr>
      </w:pPr>
      <w:r>
        <w:t>Emory</w:t>
      </w:r>
      <w:r w:rsidR="003E548D">
        <w:t xml:space="preserve"> </w:t>
      </w:r>
      <w:r w:rsidR="000757F1">
        <w:t xml:space="preserve">Sustainability strongly </w:t>
      </w:r>
      <w:proofErr w:type="gramStart"/>
      <w:r w:rsidR="000757F1">
        <w:t>encourages t</w:t>
      </w:r>
      <w:r w:rsidR="003E548D">
        <w:t>hat</w:t>
      </w:r>
      <w:proofErr w:type="gramEnd"/>
      <w:r w:rsidR="003E548D">
        <w:t xml:space="preserve"> packaging and </w:t>
      </w:r>
      <w:proofErr w:type="spellStart"/>
      <w:r w:rsidR="003E548D">
        <w:t>serviceware</w:t>
      </w:r>
      <w:proofErr w:type="spellEnd"/>
      <w:r w:rsidR="003E548D">
        <w:t xml:space="preserve"> are 100% compostable.</w:t>
      </w:r>
      <w:r w:rsidR="000757F1">
        <w:t xml:space="preserve"> This includes paper and plant-based products.</w:t>
      </w:r>
    </w:p>
    <w:p w14:paraId="41ABCCFC" w14:textId="77777777" w:rsidR="00EF6FEC" w:rsidRDefault="00EF6FEC" w:rsidP="00EF6FEC"/>
    <w:p w14:paraId="414D9F35" w14:textId="1F283BB3" w:rsidR="00EF6FEC" w:rsidRPr="001B29DE" w:rsidRDefault="00834FE5" w:rsidP="005162FE">
      <w:pPr>
        <w:pStyle w:val="Heading2"/>
        <w:numPr>
          <w:ilvl w:val="0"/>
          <w:numId w:val="3"/>
        </w:numPr>
      </w:pPr>
      <w:r>
        <w:t>Can</w:t>
      </w:r>
      <w:r w:rsidRPr="001B29DE">
        <w:t xml:space="preserve"> </w:t>
      </w:r>
      <w:r w:rsidR="00EF6FEC" w:rsidRPr="001B29DE">
        <w:t>off-campus events be catered using a</w:t>
      </w:r>
      <w:r w:rsidR="000004A3">
        <w:t xml:space="preserve"> </w:t>
      </w:r>
      <w:r w:rsidR="000004A3" w:rsidRPr="001B29DE">
        <w:t>caterer</w:t>
      </w:r>
      <w:r w:rsidR="000004A3" w:rsidRPr="001B29DE">
        <w:t xml:space="preserve"> </w:t>
      </w:r>
      <w:r w:rsidR="003E548D" w:rsidRPr="001B29DE">
        <w:t>n</w:t>
      </w:r>
      <w:r w:rsidR="000004A3">
        <w:t>ot registered with</w:t>
      </w:r>
      <w:r w:rsidR="00EF6FEC" w:rsidRPr="001B29DE">
        <w:t xml:space="preserve"> ATG?</w:t>
      </w:r>
    </w:p>
    <w:p w14:paraId="78C4A50C" w14:textId="264591B6" w:rsidR="00EF6FEC" w:rsidRDefault="00936BCD" w:rsidP="00EF6FEC">
      <w:pPr>
        <w:ind w:left="720"/>
      </w:pPr>
      <w:r>
        <w:t>Yes</w:t>
      </w:r>
      <w:r w:rsidR="00EF6FEC">
        <w:t xml:space="preserve">.  However, you still must </w:t>
      </w:r>
      <w:r w:rsidR="003E548D">
        <w:t>verify</w:t>
      </w:r>
      <w:r w:rsidR="00EF6FEC">
        <w:t xml:space="preserve"> the points above.</w:t>
      </w:r>
      <w:r w:rsidR="003E548D">
        <w:t xml:space="preserve">  For </w:t>
      </w:r>
      <w:r w:rsidR="00F00AAA">
        <w:t>caterers</w:t>
      </w:r>
      <w:r w:rsidR="003E548D">
        <w:t xml:space="preserve"> that are mandated by a venue, you may not be able to confirm </w:t>
      </w:r>
      <w:proofErr w:type="gramStart"/>
      <w:r w:rsidR="003E548D">
        <w:t>all of</w:t>
      </w:r>
      <w:proofErr w:type="gramEnd"/>
      <w:r w:rsidR="003E548D">
        <w:t xml:space="preserve"> the above.  Use of a caterer in that situation</w:t>
      </w:r>
      <w:r w:rsidR="005162FE">
        <w:t>, with the associated risks,</w:t>
      </w:r>
      <w:r w:rsidR="003E548D">
        <w:t xml:space="preserve"> is a business decision.</w:t>
      </w:r>
    </w:p>
    <w:p w14:paraId="3B99D870" w14:textId="77777777" w:rsidR="003E548D" w:rsidRDefault="003E548D" w:rsidP="00EF6FEC">
      <w:pPr>
        <w:ind w:left="720"/>
      </w:pPr>
    </w:p>
    <w:p w14:paraId="6105D7CD" w14:textId="77777777" w:rsidR="003E548D" w:rsidRDefault="003E548D" w:rsidP="00EF6FEC">
      <w:pPr>
        <w:ind w:left="720"/>
      </w:pPr>
    </w:p>
    <w:p w14:paraId="3DD140F9" w14:textId="77777777" w:rsidR="00EF6FEC" w:rsidRDefault="00EF6FEC" w:rsidP="00EF6FEC">
      <w:pPr>
        <w:ind w:left="720"/>
      </w:pPr>
    </w:p>
    <w:sectPr w:rsidR="00EF6FEC" w:rsidSect="00EF6FE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677D7" w14:textId="77777777" w:rsidR="0069465F" w:rsidRDefault="0069465F" w:rsidP="00A42985">
      <w:pPr>
        <w:spacing w:after="0" w:line="240" w:lineRule="auto"/>
      </w:pPr>
      <w:r>
        <w:separator/>
      </w:r>
    </w:p>
  </w:endnote>
  <w:endnote w:type="continuationSeparator" w:id="0">
    <w:p w14:paraId="1FD65863" w14:textId="77777777" w:rsidR="0069465F" w:rsidRDefault="0069465F" w:rsidP="00A4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96A54" w14:textId="7DA745B1" w:rsidR="003D3014" w:rsidRPr="00C52591" w:rsidRDefault="00965653" w:rsidP="00C52591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Catering Purchasing</w:t>
    </w:r>
    <w:r w:rsidR="00A42985">
      <w:rPr>
        <w:i/>
        <w:iCs/>
        <w:sz w:val="18"/>
        <w:szCs w:val="18"/>
      </w:rPr>
      <w:t xml:space="preserve"> – Guide To Buyers</w:t>
    </w:r>
    <w:r w:rsidR="00A42985">
      <w:rPr>
        <w:i/>
        <w:iCs/>
        <w:sz w:val="18"/>
        <w:szCs w:val="18"/>
      </w:rPr>
      <w:tab/>
    </w:r>
    <w:r w:rsidR="00A42985">
      <w:rPr>
        <w:i/>
        <w:iCs/>
        <w:sz w:val="18"/>
        <w:szCs w:val="18"/>
      </w:rPr>
      <w:tab/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00527" w14:textId="77777777" w:rsidR="0069465F" w:rsidRDefault="0069465F" w:rsidP="00A42985">
      <w:pPr>
        <w:spacing w:after="0" w:line="240" w:lineRule="auto"/>
      </w:pPr>
      <w:r>
        <w:separator/>
      </w:r>
    </w:p>
  </w:footnote>
  <w:footnote w:type="continuationSeparator" w:id="0">
    <w:p w14:paraId="6116A2C6" w14:textId="77777777" w:rsidR="0069465F" w:rsidRDefault="0069465F" w:rsidP="00A42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1065"/>
    <w:multiLevelType w:val="hybridMultilevel"/>
    <w:tmpl w:val="368E2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678B0"/>
    <w:multiLevelType w:val="hybridMultilevel"/>
    <w:tmpl w:val="E1143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C4CFE"/>
    <w:multiLevelType w:val="hybridMultilevel"/>
    <w:tmpl w:val="049C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173959">
    <w:abstractNumId w:val="1"/>
  </w:num>
  <w:num w:numId="2" w16cid:durableId="2032101542">
    <w:abstractNumId w:val="2"/>
  </w:num>
  <w:num w:numId="3" w16cid:durableId="67084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EC"/>
    <w:rsid w:val="000004A3"/>
    <w:rsid w:val="00007F6B"/>
    <w:rsid w:val="0006213E"/>
    <w:rsid w:val="0007231F"/>
    <w:rsid w:val="000757F1"/>
    <w:rsid w:val="0012702B"/>
    <w:rsid w:val="001569DB"/>
    <w:rsid w:val="0016168F"/>
    <w:rsid w:val="001B29DE"/>
    <w:rsid w:val="003D3014"/>
    <w:rsid w:val="003E548D"/>
    <w:rsid w:val="00436848"/>
    <w:rsid w:val="00436B2B"/>
    <w:rsid w:val="005162FE"/>
    <w:rsid w:val="005273EB"/>
    <w:rsid w:val="00594F15"/>
    <w:rsid w:val="0069465F"/>
    <w:rsid w:val="006D03D1"/>
    <w:rsid w:val="00834FE5"/>
    <w:rsid w:val="008E72DE"/>
    <w:rsid w:val="00936BCD"/>
    <w:rsid w:val="0096526F"/>
    <w:rsid w:val="00965653"/>
    <w:rsid w:val="009B7B48"/>
    <w:rsid w:val="009D3EA1"/>
    <w:rsid w:val="00A10E55"/>
    <w:rsid w:val="00A42985"/>
    <w:rsid w:val="00A52324"/>
    <w:rsid w:val="00A9543E"/>
    <w:rsid w:val="00AE2C2D"/>
    <w:rsid w:val="00BD253B"/>
    <w:rsid w:val="00C7123D"/>
    <w:rsid w:val="00C94DBD"/>
    <w:rsid w:val="00D123C8"/>
    <w:rsid w:val="00DC6F7A"/>
    <w:rsid w:val="00EF6FEC"/>
    <w:rsid w:val="00F00AAA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2479"/>
  <w15:chartTrackingRefBased/>
  <w15:docId w15:val="{C34900FE-A097-4ECA-81A7-929713AD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FEC"/>
    <w:pPr>
      <w:spacing w:after="120" w:line="264" w:lineRule="auto"/>
    </w:pPr>
    <w:rPr>
      <w:rFonts w:eastAsiaTheme="minorEastAsia"/>
      <w:kern w:val="0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F4761" w:themeColor="accent1" w:themeShade="BF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757F1"/>
    <w:rPr>
      <w:rFonts w:asciiTheme="majorHAnsi" w:eastAsiaTheme="majorEastAsia" w:hAnsiTheme="majorHAnsi" w:cstheme="majorBidi"/>
      <w:b/>
      <w:color w:val="0F4761" w:themeColor="accent1" w:themeShade="BF"/>
      <w:kern w:val="0"/>
      <w:sz w:val="24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F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F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F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F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F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F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F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6FEC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6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FEC"/>
    <w:rPr>
      <w:rFonts w:eastAsiaTheme="minorEastAsia"/>
      <w:kern w:val="0"/>
      <w:szCs w:val="21"/>
      <w14:ligatures w14:val="none"/>
    </w:rPr>
  </w:style>
  <w:style w:type="paragraph" w:customStyle="1" w:styleId="xxmsonormal">
    <w:name w:val="x_xmsonormal"/>
    <w:basedOn w:val="Normal"/>
    <w:rsid w:val="00EF6FEC"/>
    <w:pPr>
      <w:spacing w:after="0" w:line="240" w:lineRule="auto"/>
    </w:pPr>
    <w:rPr>
      <w:rFonts w:ascii="Aptos" w:eastAsiaTheme="minorHAnsi" w:hAnsi="Aptos" w:cs="Apto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2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985"/>
    <w:rPr>
      <w:rFonts w:eastAsiaTheme="minorEastAsia"/>
      <w:kern w:val="0"/>
      <w:szCs w:val="21"/>
      <w14:ligatures w14:val="none"/>
    </w:rPr>
  </w:style>
  <w:style w:type="paragraph" w:styleId="Revision">
    <w:name w:val="Revision"/>
    <w:hidden/>
    <w:uiPriority w:val="99"/>
    <w:semiHidden/>
    <w:rsid w:val="00834FE5"/>
    <w:pPr>
      <w:spacing w:after="0" w:line="240" w:lineRule="auto"/>
    </w:pPr>
    <w:rPr>
      <w:rFonts w:eastAsiaTheme="minorEastAsia"/>
      <w:kern w:val="0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34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F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FE5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FE5"/>
    <w:rPr>
      <w:rFonts w:eastAsiaTheme="minorEastAsia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D3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.bordon@americatog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kapela@emory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ph.georgia.gov/lifting-lid-environmental-healths-restaurant-rank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.healthinspections.us/stateofgeorg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Kapela, Rick</dc:creator>
  <cp:keywords/>
  <dc:description/>
  <cp:lastModifiedBy>Kapela, Rick</cp:lastModifiedBy>
  <cp:revision>3</cp:revision>
  <dcterms:created xsi:type="dcterms:W3CDTF">2024-05-28T13:56:00Z</dcterms:created>
  <dcterms:modified xsi:type="dcterms:W3CDTF">2024-05-28T14:03:00Z</dcterms:modified>
</cp:coreProperties>
</file>